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2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1" name="Picture 1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4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B7B7B7"/>
          <w:left w:val="single" w:sz="5" w:color="B7B7B7"/>
          <w:bottom w:val="single" w:sz="5" w:color="B7B7B7"/>
          <w:right w:val="single" w:sz="5" w:color="B7B7B7"/>
          <w:insideH w:val="single" w:sz="5" w:color="B7B7B7"/>
          <w:insideV w:val="single" w:sz="5" w:color="B7B7B7"/>
        </w:tblBorders>
      </w:tblPr>
      <w:tblGrid>
        <w:gridCol w:w="4680"/>
        <w:gridCol w:w="4680"/>
      </w:tblGrid>
      <w:tr>
        <w:tc>
          <w:tcPr>
            <w:tcW w:type="dxa" w:w="9360"/>
            <w:gridSpan w:val="2"/>
            <w:shd w:fill="FFFFFF"/>
            <w:tcMar>
              <w:top w:w="35" w:type="dxa"/>
              <w:start w:w="55" w:type="dxa"/>
              <w:bottom w:w="3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Y2: In addition to Y1 knowledge:</w:t>
            </w:r>
          </w:p>
          <w:p>
            <w:pPr>
              <w:spacing w:before="0" w:after="0"/>
              <w:jc w:val="right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 xml:space="preserve"> Component Knowledge </w:t>
            </w:r>
          </w:p>
        </w:tc>
      </w:tr>
      <w:tr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Pupils know that: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sentence can begin with because, if, when or can contain one of these words elsewhere. These are conjunctions, used to join two ideas together.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written question ends with a question mark instead of a full stop.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Questions often begin with question words such as who, what, where, when, how, has…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An exclamation is a word or sentence spoken suddenly, loudly or emphatically. It can express emotion.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At its simplest, a noun is a word that identifies (names) a thing, a person or a place.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 noun or noun phrase is almost always preceded by a determiner. Determiners signal whether a noun is known or unknown, plural or singular, and possession.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At its simplest, an adjective describes a noun (or pronoun) — says something about it.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At its simplest, a verb is a doing, happening, or action word. An alternative verb can be chosen to give an action a modified meaning.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At its simplest, an adverb of manner says how something happens or happened. It usually ends with –ly.</w:t>
            </w:r>
          </w:p>
        </w:tc>
        <w:tc>
          <w:tcPr>
            <w:tcW w:type="dxa" w:w="4680"/>
            <w:tcMar>
              <w:top w:w="35" w:type="dxa"/>
              <w:start w:w="55" w:type="dxa"/>
              <w:bottom w:w="35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Pupils know how to: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In addition to the vital transcriptional aspects: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Write between 12 and 20 sentences in sequence.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Plan and write with a beginning, middle and end.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Write using a variety of simple and compound sentences, joined with simple conjunctions e.g. and, then, but, or.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Write sentences using because, if, when.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exclamation marks and question marks correctly.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Write questions beginning with who, what, where, when, how, has…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Improve a noun phrase by adding one or more adjectives and/or replacing or strengthening the noun with an alternative noun.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Select and use alternative verbs.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4"/>
              </w:rPr>
              <w:t>Use –ly adverbs in association with verbs.</w:t>
            </w:r>
          </w:p>
        </w:tc>
      </w:tr>
    </w:tbl>
    <w:p>
      <w:pPr>
        <w:spacing w:before="0" w:after="0"/>
        <w:jc w:val="center"/>
      </w:pPr>
      <w:r>
        <w:rPr>
          <w:rFonts w:ascii="Arial" w:hAnsi="Arial"/>
          <w:b w:val="0"/>
          <w:i w:val="0"/>
          <w:color w:val="E8C038"/>
          <w:sz w:val="56"/>
        </w:rPr>
        <w:t>⇩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3000"/>
        <w:gridCol w:w="3360"/>
        <w:gridCol w:w="3000"/>
      </w:tblGrid>
      <w:tr>
        <w:tc>
          <w:tcPr>
            <w:tcW w:type="dxa" w:w="3000"/>
            <w:tcMar>
              <w:top w:w="35" w:type="dxa"/>
              <w:start w:w="50" w:type="dxa"/>
              <w:bottom w:w="35" w:type="dxa"/>
              <w:end w:w="5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Composite Knowledge</w:t>
            </w:r>
          </w:p>
        </w:tc>
        <w:tc>
          <w:tcPr>
            <w:tcW w:type="dxa" w:w="6360"/>
            <w:gridSpan w:val="2"/>
          </w:tcPr>
          <w:p/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Letter formation / Handwriting</w:t>
            </w:r>
          </w:p>
        </w:tc>
      </w:tr>
      <w:tr>
        <w:trPr>
          <w:trHeight w:val="150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sit correctly at a table, holding a pencil comfortably and correctly.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master the tripod grip of a pen/pencil.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form lower case letters of the correct size, relative to one another.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use spacing between words that reflects the size of the letters.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capital letters and digits of the correct size, orientation and relationship to one another and to lower case letters.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begin to use the diagonal and horizontal strokes needed to join letters.</w:t>
            </w:r>
          </w:p>
        </w:tc>
      </w:tr>
      <w:tr>
        <w:tc>
          <w:tcPr>
            <w:tcW w:type="dxa" w:w="9360"/>
            <w:gridSpan w:val="3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Planning, Drafting and Editing</w:t>
            </w:r>
          </w:p>
        </w:tc>
      </w:tr>
      <w:tr>
        <w:trPr>
          <w:trHeight w:val="1750" w:hRule="atLeast"/>
        </w:trPr>
        <w:tc>
          <w:tcPr>
            <w:tcW w:type="dxa" w:w="9360"/>
            <w:gridSpan w:val="3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Children know how to: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write narratives about personal experiences and those of others (real and fictional).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plan what they are going to write about, including writing down ideas and/or key words and new vocabulary e.g. mind-maps.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sequence what they want to say sentence by sentence.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make simple additions, revisions and corrections to their own writing by evaluating their writing with the teacher and other pupils.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read to check that their writing makes sense and that the correct tense is used throughout with the help of an adult where necessary.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6"/>
              </w:rPr>
              <w:t>check for errors in spelling, grammar and punctuation with the help of an adult where necessary.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Audience, Purpose and Structure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write for different purposes with an awareness of an increased amount of fiction and non-fiction structures.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new vocabulary from their reading, their discussions about it (one- to-one and as a whole class) and from their wider experiences.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read aloud what they have written with appropriate intonation to make the meaning clear.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Sentence Structure (Including punctuation and grammar)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Children know how to: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the present tense and the past tense mostly correctly and consistently.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form sentences with different forms: statement, question, exclamation, command.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co-ordination (or/and/but).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some subordination (when/if/ that/because).</w:t>
            </w:r>
          </w:p>
          <w:p>
            <w:pPr>
              <w:spacing w:after="1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expanded noun phrases to describe and specify (e.g. the blue butterfly).</w:t>
            </w:r>
          </w:p>
          <w:p>
            <w:pPr>
              <w:spacing w:before="100" w:after="2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➢   use the full range of punctuation taught at key stage 1 mostly correctly including:</w:t>
            </w:r>
          </w:p>
          <w:p>
            <w:pPr>
              <w:spacing w:after="1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capital letters, full stops, question marks and exclamation marks;</w:t>
            </w:r>
          </w:p>
          <w:p>
            <w:pPr>
              <w:spacing w:after="1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commas to separate lists;</w:t>
            </w:r>
          </w:p>
          <w:p>
            <w:pPr>
              <w:spacing w:after="1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apostrophes to mark singular possession and contractions.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Terminology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  <w:t>Recognise and use the terms: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Noun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Noun phrase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Statement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Question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Exclamation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Command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Compound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Suffix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Adjective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Verb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Adverb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Present and past tense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Apostrophe</w:t>
            </w:r>
          </w:p>
          <w:p>
            <w:pPr>
              <w:spacing w:after="0" w:line="240" w:lineRule="auto"/>
              <w:numPr>
                <w:ilvl w:val="0"/>
                <w:numId w:val="311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Comma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Phonic &amp; Whole word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segment spoken words into phonemes and represent these by graphemes, spelling many correctly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learn new ways of spelling phonemes for which 1 or more spellings are already known, and learn some words with each spelling, including a few common homophones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learn to spell common exception words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distinguish between homophones and near-homophones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Other word building spelling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learning the possessive apostrophe (singular)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learn to spell more words with contracted forms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add suffixes to spell longer words, including –ment, –ness, –ful, –less, –ly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show awareness of silent letters in spelling e.g. knight, write</w:t>
            </w:r>
          </w:p>
        </w:tc>
      </w:tr>
    </w:tbl>
    <w:p>
      <w:pPr>
        <w:spacing w:after="0"/>
      </w:pPr>
      <w:r>
        <w:br w:type="page"/>
      </w:r>
    </w:p>
    <w:tbl>
      <w:tblPr>
        <w:tblW w:type="dxa" w:w="860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0" w:color="FFFFFF"/>
          <w:left w:val="single" w:sz="0" w:color="FFFFFF"/>
          <w:bottom w:val="single" w:sz="0" w:color="FFFFFF"/>
          <w:right w:val="single" w:sz="0" w:color="FFFFFF"/>
          <w:insideH w:val="single" w:sz="0" w:color="FFFFFF"/>
          <w:insideV w:val="single" w:sz="0" w:color="FFFFFF"/>
        </w:tblBorders>
      </w:tblPr>
      <w:tblGrid>
        <w:gridCol w:w="7800"/>
        <w:gridCol w:w="800"/>
      </w:tblGrid>
      <w:tr>
        <w:tc>
          <w:tcPr>
            <w:tcW w:type="dxa" w:w="7800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24"/>
                <w:u w:val="single"/>
              </w:rPr>
              <w:t>Writing End Points – Year 2</w:t>
            </w:r>
          </w:p>
        </w:tc>
        <w:tc>
          <w:tcPr>
            <w:tcW w:type="dxa" w:w="800"/>
          </w:tcPr>
          <w:p>
            <w:pPr>
              <w:spacing w:after="0"/>
              <w:jc w:val="right"/>
            </w:pPr>
            <w:r>
              <w:drawing>
                <wp:inline xmlns:a="http://schemas.openxmlformats.org/drawingml/2006/main" xmlns:pic="http://schemas.openxmlformats.org/drawingml/2006/picture">
                  <wp:extent cx="266580" cy="256032"/>
                  <wp:docPr id="2" name="Picture 2" descr="St Boniface school crest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0" cy="2560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100"/>
        <w:jc w:val="center"/>
      </w:pPr>
      <w:r>
        <w:rPr>
          <w:rFonts w:ascii="Arial" w:hAnsi="Arial"/>
          <w:b w:val="0"/>
          <w:i w:val="0"/>
          <w:color w:val="666666"/>
          <w:sz w:val="15"/>
        </w:rPr>
        <w:t>St Boniface R.C. Primary School</w:t>
      </w:r>
    </w:p>
    <w:tbl>
      <w:tblPr>
        <w:tblW w:type="dxa" w:w="9360"/>
        <w:jc w:val="center"/>
        <w:tblLayout w:type="fixed"/>
        <w:tblLook w:firstColumn="1" w:firstRow="1" w:lastColumn="0" w:lastRow="0" w:noHBand="0" w:noVBand="1" w:val="04A0"/>
        <w:tblInd w:w="0" w:type="dxa"/>
        <w:tblBorders>
          <w:top w:val="single" w:sz="5" w:color="000000"/>
          <w:left w:val="single" w:sz="5" w:color="000000"/>
          <w:bottom w:val="single" w:sz="5" w:color="000000"/>
          <w:right w:val="single" w:sz="5" w:color="000000"/>
          <w:insideH w:val="single" w:sz="5" w:color="000000"/>
          <w:insideV w:val="single" w:sz="5" w:color="000000"/>
        </w:tblBorders>
      </w:tblPr>
      <w:tblGrid>
        <w:gridCol w:w="9360"/>
      </w:tblGrid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use –le ending as the most common spelling for this sound at the end of words</w:t>
            </w:r>
          </w:p>
          <w:p>
            <w:pPr>
              <w:spacing w:after="0" w:line="240" w:lineRule="auto"/>
              <w:numPr>
                <w:ilvl w:val="0"/>
                <w:numId w:val="310"/>
              </w:numPr>
            </w:pPr>
            <w:r>
              <w:rPr>
                <w:rFonts w:ascii="Arial" w:hAnsi="Arial"/>
                <w:b w:val="0"/>
                <w:i w:val="0"/>
                <w:color w:val="000000"/>
                <w:sz w:val="17"/>
              </w:rPr>
              <w:t>apply spelling rules and guidelines from Appendix 1</w:t>
            </w:r>
          </w:p>
        </w:tc>
      </w:tr>
      <w:tr>
        <w:tc>
          <w:tcPr>
            <w:tcW w:type="dxa" w:w="9360"/>
            <w:shd w:fill="F0F2FA"/>
            <w:tcMar>
              <w:top w:w="30" w:type="dxa"/>
              <w:start w:w="50" w:type="dxa"/>
              <w:bottom w:w="25" w:type="dxa"/>
              <w:end w:w="50" w:type="dxa"/>
            </w:tcMar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203080"/>
                <w:sz w:val="18"/>
              </w:rPr>
              <w:t>Contexts for writing (Purpose)</w:t>
            </w:r>
          </w:p>
        </w:tc>
      </w:tr>
      <w:tr>
        <w:tc>
          <w:tcPr>
            <w:tcW w:type="dxa" w:w="9360"/>
            <w:tcMar>
              <w:top w:w="40" w:type="dxa"/>
              <w:start w:w="55" w:type="dxa"/>
              <w:bottom w:w="50" w:type="dxa"/>
              <w:end w:w="55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i w:val="0"/>
                <w:color w:val="000000"/>
                <w:sz w:val="17"/>
              </w:rPr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 w:val="0"/>
                <w:i w:val="0"/>
                <w:color w:val="9A7800"/>
                <w:sz w:val="17"/>
              </w:rPr>
              <w:t xml:space="preserve"> Character Description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 w:val="0"/>
                <w:i w:val="0"/>
                <w:color w:val="9A7800"/>
                <w:sz w:val="17"/>
              </w:rPr>
              <w:t xml:space="preserve"> Setting description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 w:val="0"/>
                <w:i w:val="0"/>
                <w:color w:val="9A7800"/>
                <w:sz w:val="17"/>
              </w:rPr>
              <w:t xml:space="preserve"> Poem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 w:val="0"/>
                <w:i w:val="0"/>
                <w:color w:val="9A7800"/>
                <w:sz w:val="17"/>
              </w:rPr>
              <w:t xml:space="preserve"> Narrative</w:t>
            </w:r>
          </w:p>
          <w:p>
            <w:pPr>
              <w:spacing w:after="10" w:line="240" w:lineRule="auto"/>
              <w:numPr>
                <w:ilvl w:val="0"/>
                <w:numId w:val="312"/>
              </w:numPr>
            </w:pPr>
            <w:r>
              <w:rPr>
                <w:rFonts w:ascii="Arial" w:hAnsi="Arial"/>
                <w:b/>
                <w:i w:val="0"/>
                <w:color w:val="9A7800"/>
                <w:sz w:val="17"/>
              </w:rPr>
              <w:t>Writing to entertain:</w:t>
            </w:r>
            <w:r>
              <w:rPr>
                <w:rFonts w:ascii="Arial" w:hAnsi="Arial"/>
                <w:b w:val="0"/>
                <w:i w:val="0"/>
                <w:color w:val="9A7800"/>
                <w:sz w:val="17"/>
              </w:rPr>
              <w:t xml:space="preserve"> Festive narrative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Information leaflet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Letter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Instructions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inform: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Fact file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recount: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Eyewitness or chronological account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describe: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Character or setting description</w:t>
            </w:r>
          </w:p>
          <w:p>
            <w:pPr>
              <w:spacing w:after="10" w:line="240" w:lineRule="auto"/>
              <w:numPr>
                <w:ilvl w:val="0"/>
                <w:numId w:val="313"/>
              </w:numPr>
            </w:pPr>
            <w:r>
              <w:rPr>
                <w:rFonts w:ascii="Arial" w:hAnsi="Arial"/>
                <w:b/>
                <w:i w:val="0"/>
                <w:color w:val="203080"/>
                <w:sz w:val="17"/>
              </w:rPr>
              <w:t>Writing to persuade:</w:t>
            </w:r>
            <w:r>
              <w:rPr>
                <w:rFonts w:ascii="Arial" w:hAnsi="Arial"/>
                <w:b w:val="0"/>
                <w:i w:val="0"/>
                <w:color w:val="203080"/>
                <w:sz w:val="17"/>
              </w:rPr>
              <w:t xml:space="preserve"> Letter to a named recipient</w:t>
            </w:r>
          </w:p>
        </w:tc>
      </w:tr>
    </w:tbl>
    <w:sectPr w:rsidR="00FC693F" w:rsidRPr="0006063C" w:rsidSect="00034616">
      <w:pgSz w:w="11909" w:h="16834"/>
      <w:pgMar w:top="504" w:right="547" w:bottom="504" w:left="547" w:header="216" w:footer="21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310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000000"/>
      </w:rPr>
    </w:lvl>
  </w:abstractNum>
  <w:num w:numId="310">
    <w:abstractNumId w:val="310"/>
  </w:num>
  <w:abstractNum w:abstractNumId="311">
    <w:multiLevelType w:val="singleLevel"/>
    <w:lvl w:ilvl="0">
      <w:start w:val="1"/>
      <w:numFmt w:val="bullet"/>
      <w:lvlText w:val="•"/>
      <w:lvlJc w:val="left"/>
      <w:pPr>
        <w:ind w:left="420" w:hanging="240"/>
      </w:pPr>
      <w:rPr>
        <w:color w:val="000000"/>
      </w:rPr>
    </w:lvl>
  </w:abstractNum>
  <w:num w:numId="311">
    <w:abstractNumId w:val="311"/>
  </w:num>
  <w:abstractNum w:abstractNumId="312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9A7800"/>
      </w:rPr>
    </w:lvl>
  </w:abstractNum>
  <w:num w:numId="312">
    <w:abstractNumId w:val="312"/>
  </w:num>
  <w:abstractNum w:abstractNumId="313">
    <w:multiLevelType w:val="singleLevel"/>
    <w:lvl w:ilvl="0">
      <w:start w:val="1"/>
      <w:numFmt w:val="bullet"/>
      <w:lvlText w:val="➢"/>
      <w:lvlJc w:val="left"/>
      <w:pPr>
        <w:ind w:left="420" w:hanging="240"/>
      </w:pPr>
      <w:rPr>
        <w:color w:val="203080"/>
      </w:rPr>
    </w:lvl>
  </w:abstractNum>
  <w:num w:numId="313">
    <w:abstractNumId w:val="3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Arial" w:hAnsi="Arial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3.xml"/><Relationship Id="rId5" Type="http://schemas.openxmlformats.org/officeDocument/2006/relationships/settings" Target="settings.xml"/><Relationship Id="rId10" Type="http://schemas.openxmlformats.org/officeDocument/2006/relationships/customXml" Target="../customXml/item2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A535CB8-B4F9-4C89-A8D4-10662978C36F}"/>
</file>

<file path=customXml/itemProps3.xml><?xml version="1.0" encoding="utf-8"?>
<ds:datastoreItem xmlns:ds="http://schemas.openxmlformats.org/officeDocument/2006/customXml" ds:itemID="{939E34D3-1409-4304-A170-90B56D350285}"/>
</file>

<file path=customXml/itemProps4.xml><?xml version="1.0" encoding="utf-8"?>
<ds:datastoreItem xmlns:ds="http://schemas.openxmlformats.org/officeDocument/2006/customXml" ds:itemID="{8772B2DC-E889-4D09-ACEA-A6FA935947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End Points – Year 2 | St Boniface</dc:title>
  <dc:subject>Adapted from the supplied Writing End Points – Year 2 document</dc:subject>
  <dc:creator>St Boniface R.C. Primary School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