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200"/>
        <w:jc w:val="left"/>
      </w:pPr>
      <w:r>
        <w:rPr>
          <w:rFonts w:ascii="Arial" w:hAnsi="Arial"/>
          <w:b/>
          <w:sz w:val="30"/>
          <w:u w:val="single"/>
        </w:rPr>
        <w:t>Writing End Points – Year 5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65" w:type="dxa"/>
              <w:start w:w="80" w:type="dxa"/>
              <w:bottom w:w="65" w:type="dxa"/>
              <w:end w:w="80" w:type="dxa"/>
            </w:tcMar>
            <w:vAlign w:val="center"/>
            <w:shd w:fill="E2F0D9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000000"/>
                <w:sz w:val="20"/>
              </w:rPr>
              <w:t>Year 5 component knowledge</w:t>
            </w:r>
          </w:p>
        </w:tc>
        <w:tc>
          <w:tcPr>
            <w:tcW w:type="dxa" w:w="5272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65" w:type="dxa"/>
              <w:start w:w="80" w:type="dxa"/>
              <w:bottom w:w="65" w:type="dxa"/>
              <w:end w:w="80" w:type="dxa"/>
            </w:tcMar>
            <w:vAlign w:val="center"/>
            <w:shd w:fill="E2F0D9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/>
                <w:color w:val="000000"/>
                <w:sz w:val="18"/>
              </w:rPr>
              <w:t>Pupils independently select and apply this knowledge</w:t>
            </w:r>
          </w:p>
        </w:tc>
      </w:tr>
      <w:tr>
        <w:tc>
          <w:tcPr>
            <w:tcW w:type="dxa" w:w="5272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65" w:type="dxa"/>
              <w:start w:w="80" w:type="dxa"/>
              <w:bottom w:w="65" w:type="dxa"/>
              <w:end w:w="80" w:type="dxa"/>
            </w:tcMar>
          </w:tcPr>
          <w:p>
            <w:r/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Relative clauses add relevant detail and can begin with who, which, where, when, whose or that.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Modal verbs and adverbs show different degrees of possibility.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Parenthesis adds extra information and is marked with brackets, dashes or commas.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Cohesion helps ideas flow within and across paragraphs.</w:t>
            </w:r>
          </w:p>
        </w:tc>
        <w:tc>
          <w:tcPr>
            <w:tcW w:type="dxa" w:w="5272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65" w:type="dxa"/>
              <w:start w:w="80" w:type="dxa"/>
              <w:bottom w:w="65" w:type="dxa"/>
              <w:end w:w="80" w:type="dxa"/>
            </w:tcMar>
          </w:tcPr>
          <w:p>
            <w:r/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Vary sentence length and structure deliberately for meaning and effect.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Choose precise vocabulary and an appropriate level of formality for the reader.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Use commas to clarify meaning and avoid ambiguity.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Select appropriate organisational and layout features for the chosen form.</w:t>
            </w:r>
          </w:p>
        </w:tc>
      </w:tr>
    </w:tbl>
    <w:p>
      <w:pPr>
        <w:spacing w:before="120" w:after="80"/>
      </w:pPr>
      <w:r>
        <w:rPr>
          <w:rFonts w:ascii="Arial" w:hAnsi="Arial"/>
          <w:b/>
          <w:color w:val="375623"/>
          <w:sz w:val="22"/>
        </w:rPr>
        <w:t>Composite Knowledge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54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  <w:shd w:fill="E2F0D9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000000"/>
                <w:sz w:val="19"/>
              </w:rPr>
              <w:t>Letter Formation / Handwriting</w:t>
            </w:r>
          </w:p>
        </w:tc>
      </w:tr>
      <w:tr>
        <w:tc>
          <w:tcPr>
            <w:tcW w:type="dxa" w:w="1054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</w:tcPr>
          <w:p>
            <w:pPr>
              <w:spacing w:after="40"/>
            </w:pPr>
            <w:r/>
            <w:r>
              <w:rPr>
                <w:rFonts w:ascii="Arial" w:hAnsi="Arial"/>
                <w:b/>
                <w:sz w:val="17"/>
              </w:rPr>
              <w:t>In addition to KS1 and lower KS2 knowledge, pupils know how to: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7"/>
              </w:rPr>
              <w:t>maintain a comfortable, upright sitting position and use a secure tripod grip.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7"/>
              </w:rPr>
              <w:t>write fluently and legibly using diagonal and horizontal joins where appropriate.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7"/>
              </w:rPr>
              <w:t>leave capital letters unjoined and decide when another letter is best left unjoined to improve speed and legibility.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7"/>
              </w:rPr>
              <w:t>choose a handwriting style suited to the task, such as quick notes or a polished final copy.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54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  <w:shd w:fill="E2F0D9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000000"/>
                <w:sz w:val="19"/>
              </w:rPr>
              <w:t>Planning, Drafting and Editing</w:t>
            </w:r>
          </w:p>
        </w:tc>
      </w:tr>
      <w:tr>
        <w:tc>
          <w:tcPr>
            <w:tcW w:type="dxa" w:w="1054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</w:tcPr>
          <w:p>
            <w:pPr>
              <w:spacing w:after="40"/>
            </w:pPr>
            <w:r/>
            <w:r>
              <w:rPr>
                <w:rFonts w:ascii="Arial" w:hAnsi="Arial"/>
                <w:b/>
                <w:sz w:val="16"/>
              </w:rPr>
              <w:t>In addition to KS1 and lower KS2 knowledge, pupils know how to: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identify the audience, purpose and form, and draw on effective models.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plan narratives by considering how authors develop settings, atmosphere, characters and plot.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draft and develop ideas through purposeful vocabulary, sentence and organisational choices.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evaluate their own and others’ writing, then revise content and structure to improve its effect.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proofread for spelling, punctuation, grammar and consistent tense, making clear edits.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précis longer passages by removing repetition and irrelevant detail.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54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  <w:shd w:fill="E2F0D9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000000"/>
                <w:sz w:val="19"/>
              </w:rPr>
              <w:t>Audience, Purpose and Structure</w:t>
            </w:r>
          </w:p>
        </w:tc>
      </w:tr>
      <w:tr>
        <w:tc>
          <w:tcPr>
            <w:tcW w:type="dxa" w:w="1054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</w:tcPr>
          <w:p>
            <w:pPr>
              <w:spacing w:after="40"/>
            </w:pPr>
            <w:r/>
            <w:r>
              <w:rPr>
                <w:rFonts w:ascii="Arial" w:hAnsi="Arial"/>
                <w:b/>
                <w:sz w:val="16"/>
              </w:rPr>
              <w:t>In addition to KS1 and lower KS2 knowledge, pupils know how to: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produce sustained narrative and non-fiction writing with an appropriate structure and layout.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describe settings, characters and atmosphere using carefully chosen vocabulary to create mood and pace.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use dialogue to reveal character and advance the action.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link ideas across paragraphs using time, place and number adverbials and other cohesive devices.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perform compositions and poetry clearly using appropriate intonation, volume, pace and movement.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54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  <w:shd w:fill="E2F0D9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000000"/>
                <w:sz w:val="19"/>
              </w:rPr>
              <w:t>Sentence Structure, Grammar and Punctuation</w:t>
            </w:r>
          </w:p>
        </w:tc>
      </w:tr>
      <w:tr>
        <w:tc>
          <w:tcPr>
            <w:tcW w:type="dxa" w:w="1054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</w:tcPr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7"/>
              </w:rPr>
              <w:t>use modal verbs and adverbs to indicate degrees of possibility, e.g. might, should, perhaps and surely.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7"/>
              </w:rPr>
              <w:t>use relative clauses beginning with who, which, where, when, whose or that, including an omitted relative pronoun where appropriate.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7"/>
              </w:rPr>
              <w:t>use a wide range of conjunctions accurately and vary the position of subordinate clauses.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7"/>
              </w:rPr>
              <w:t>maintain consistent and correct tense, changing tense only when the meaning requires it.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7"/>
              </w:rPr>
              <w:t>build cohesion within and across paragraphs using repetition, pronouns and adverbials of time, place and number.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7"/>
              </w:rPr>
              <w:t>use brackets, dashes or commas to indicate parenthesis.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7"/>
              </w:rPr>
              <w:t>use commas to clarify meaning or avoid ambiguity.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7"/>
              </w:rPr>
              <w:t>apply previously taught punctuation accurately, including dialogue punctuation and apostrophes.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54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  <w:shd w:fill="E2F0D9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000000"/>
                <w:sz w:val="19"/>
              </w:rPr>
              <w:t>Terminology</w:t>
            </w:r>
          </w:p>
        </w:tc>
      </w:tr>
      <w:tr>
        <w:tc>
          <w:tcPr>
            <w:tcW w:type="dxa" w:w="1054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</w:tcPr>
          <w:p>
            <w:pPr>
              <w:spacing w:after="40"/>
            </w:pPr>
            <w:r/>
            <w:r>
              <w:rPr>
                <w:rFonts w:ascii="Arial" w:hAnsi="Arial"/>
                <w:b/>
                <w:sz w:val="17"/>
              </w:rPr>
              <w:t>Pupils recognise, explain and use the terms: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7"/>
              </w:rPr>
              <w:t>modal verb; relative pronoun; relative clause; parenthesis; bracket; dash; cohesion; ambiguity.</w:t>
            </w:r>
          </w:p>
        </w:tc>
      </w:tr>
    </w:tbl>
    <w:p>
      <w:pPr>
        <w:spacing w:after="0"/>
      </w:pPr>
    </w:p>
    <w:p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54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  <w:shd w:fill="E2F0D9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000000"/>
                <w:sz w:val="19"/>
              </w:rPr>
              <w:t>Spelling End Points</w:t>
            </w:r>
          </w:p>
        </w:tc>
      </w:tr>
      <w:tr>
        <w:tc>
          <w:tcPr>
            <w:tcW w:type="dxa" w:w="1054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</w:tcPr>
          <w:p>
            <w:pPr>
              <w:spacing w:after="40"/>
            </w:pPr>
            <w:r/>
            <w:r>
              <w:rPr>
                <w:rFonts w:ascii="Arial" w:hAnsi="Arial"/>
                <w:b/>
                <w:sz w:val="16"/>
              </w:rPr>
              <w:t>By the end of Year 5, pupils can usually: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spell words with silent letters and words containing the letter string ough.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spell words ending in -cious, -tious or -ious; -ant, -ance/-ancy; -ent, -ence/-ency; and -able/-ible or -ably/-ibly.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apply rules for words ending in -ate, -ture, -age, -ary, -ity and -ment, and use the suffix -ly accurately.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apply the rule for adding suffixes to words ending in -fer.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use ie/ei accurately, including the long /ee/ sound after c, and understand when c represents /s/.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use selected prefixes, including inter-, and hyphens where a prefix ending in a vowel meets a vowel at the start of the root word.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distinguish common homophones and other frequently confused words in context.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spell taught words from the Years 5–6 statutory word list and revisit any insecure Years 3–4 words.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6"/>
              </w:rPr>
              <w:t>use morphology, etymology, word families and dictionaries to investigate and check spelling and meaning.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34"/>
        <w:gridCol w:w="3534"/>
        <w:gridCol w:w="3534"/>
      </w:tblGrid>
      <w:tr>
        <w:tc>
          <w:tcPr>
            <w:tcW w:type="dxa" w:w="351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  <w:shd w:fill="E2F0D9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000000"/>
                <w:sz w:val="18"/>
              </w:rPr>
              <w:t>Autumn focus</w:t>
            </w:r>
          </w:p>
        </w:tc>
        <w:tc>
          <w:tcPr>
            <w:tcW w:type="dxa" w:w="351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  <w:shd w:fill="E2F0D9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000000"/>
                <w:sz w:val="18"/>
              </w:rPr>
              <w:t>Spring focus</w:t>
            </w:r>
          </w:p>
        </w:tc>
        <w:tc>
          <w:tcPr>
            <w:tcW w:type="dxa" w:w="351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  <w:shd w:fill="E2F0D9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000000"/>
                <w:sz w:val="18"/>
              </w:rPr>
              <w:t>Summer focus</w:t>
            </w:r>
          </w:p>
        </w:tc>
      </w:tr>
      <w:tr>
        <w:tc>
          <w:tcPr>
            <w:tcW w:type="dxa" w:w="351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</w:tcPr>
          <w:p>
            <w:r/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5"/>
              </w:rPr>
              <w:t>-cious, -tious and -ious endings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5"/>
              </w:rPr>
              <w:t>con- and -tion; silent letters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5"/>
              </w:rPr>
              <w:t>-ant/-ance and -ent/-ence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5"/>
              </w:rPr>
              <w:t>-able/-ible and -ably/-ibly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5"/>
              </w:rPr>
              <w:t>suffixes added to words ending -fer</w:t>
            </w:r>
          </w:p>
        </w:tc>
        <w:tc>
          <w:tcPr>
            <w:tcW w:type="dxa" w:w="351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</w:tcPr>
          <w:p>
            <w:r/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5"/>
              </w:rPr>
              <w:t>ie and ei after c; soft c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5"/>
              </w:rPr>
              <w:t>hyphens joining prefix and root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5"/>
              </w:rPr>
              <w:t>-ment and -ity endings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5"/>
              </w:rPr>
              <w:t>dis-, mis-, de-, re- and im- prefixes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5"/>
              </w:rPr>
              <w:t>ough; -ate, -ture, -age, -ary and -ly</w:t>
            </w:r>
          </w:p>
        </w:tc>
        <w:tc>
          <w:tcPr>
            <w:tcW w:type="dxa" w:w="351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</w:tcPr>
          <w:p>
            <w:r/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5"/>
              </w:rPr>
              <w:t>inter- prefix and double consonants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5"/>
              </w:rPr>
              <w:t>Years 5–6 statutory words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5"/>
              </w:rPr>
              <w:t>homophones and confused words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5"/>
              </w:rPr>
              <w:t>morphology, etymology and word families</w:t>
            </w:r>
          </w:p>
          <w:p>
            <w:pPr>
              <w:pStyle w:val="ListBullet"/>
              <w:spacing w:before="0" w:after="24" w:line="240" w:lineRule="auto"/>
              <w:ind w:left="255" w:hanging="125"/>
            </w:pPr>
            <w:r>
              <w:rPr>
                <w:rFonts w:ascii="Arial" w:hAnsi="Arial"/>
                <w:color w:val="000000"/>
                <w:sz w:val="15"/>
              </w:rPr>
              <w:t>retrieval, assessment and consolidation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54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  <w:shd w:fill="E2F0D9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000000"/>
                <w:sz w:val="19"/>
              </w:rPr>
              <w:t>Contexts for Writing (Purpose)</w:t>
            </w:r>
          </w:p>
        </w:tc>
      </w:tr>
      <w:tr>
        <w:tc>
          <w:tcPr>
            <w:tcW w:type="dxa" w:w="1054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55" w:type="dxa"/>
              <w:start w:w="80" w:type="dxa"/>
              <w:bottom w:w="55" w:type="dxa"/>
              <w:end w:w="80" w:type="dxa"/>
            </w:tcMar>
          </w:tcPr>
          <w:p>
            <w:r/>
          </w:p>
          <w:p>
            <w:pPr>
              <w:spacing w:before="0" w:after="40"/>
              <w:ind w:left="142"/>
            </w:pPr>
            <w:r>
              <w:rPr>
                <w:rFonts w:ascii="Arial" w:hAnsi="Arial"/>
                <w:b/>
                <w:color w:val="E31A1C"/>
                <w:sz w:val="18"/>
              </w:rPr>
              <w:t xml:space="preserve">Writing to entertain: </w:t>
            </w:r>
            <w:r>
              <w:rPr>
                <w:rFonts w:ascii="Arial" w:hAnsi="Arial"/>
                <w:color w:val="E31A1C"/>
                <w:sz w:val="18"/>
              </w:rPr>
              <w:t>fantasy story; Norse quest; Ancient Egyptian fairy tale; narrative poem.</w:t>
            </w:r>
          </w:p>
          <w:p>
            <w:pPr>
              <w:spacing w:before="0" w:after="40"/>
              <w:ind w:left="142"/>
            </w:pPr>
            <w:r>
              <w:rPr>
                <w:rFonts w:ascii="Arial" w:hAnsi="Arial"/>
                <w:b/>
                <w:color w:val="0070C0"/>
                <w:sz w:val="18"/>
              </w:rPr>
              <w:t xml:space="preserve">Writing to inform: </w:t>
            </w:r>
            <w:r>
              <w:rPr>
                <w:rFonts w:ascii="Arial" w:hAnsi="Arial"/>
                <w:color w:val="0070C0"/>
                <w:sz w:val="18"/>
              </w:rPr>
              <w:t>biography; explanation; instructions; information guide.</w:t>
            </w:r>
          </w:p>
          <w:p>
            <w:pPr>
              <w:spacing w:before="0" w:after="40"/>
              <w:ind w:left="142"/>
            </w:pPr>
            <w:r>
              <w:rPr>
                <w:rFonts w:ascii="Arial" w:hAnsi="Arial"/>
                <w:b/>
                <w:color w:val="00A651"/>
                <w:sz w:val="18"/>
              </w:rPr>
              <w:t xml:space="preserve">Writing to persuade: </w:t>
            </w:r>
            <w:r>
              <w:rPr>
                <w:rFonts w:ascii="Arial" w:hAnsi="Arial"/>
                <w:color w:val="00A651"/>
                <w:sz w:val="18"/>
              </w:rPr>
              <w:t>film pitch; persuasive speech; formal persuasive letter.</w:t>
            </w:r>
          </w:p>
          <w:p>
            <w:pPr>
              <w:spacing w:before="0" w:after="40"/>
              <w:ind w:left="142"/>
            </w:pPr>
            <w:r>
              <w:rPr>
                <w:rFonts w:ascii="Arial" w:hAnsi="Arial"/>
                <w:b/>
                <w:color w:val="7030A0"/>
                <w:sz w:val="18"/>
              </w:rPr>
              <w:t xml:space="preserve">Writing to discuss: </w:t>
            </w:r>
            <w:r>
              <w:rPr>
                <w:rFonts w:ascii="Arial" w:hAnsi="Arial"/>
                <w:color w:val="7030A0"/>
                <w:sz w:val="18"/>
              </w:rPr>
              <w:t>balanced discussion; comparative review.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54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60" w:type="dxa"/>
              <w:start w:w="80" w:type="dxa"/>
              <w:bottom w:w="60" w:type="dxa"/>
              <w:end w:w="80" w:type="dxa"/>
            </w:tcMar>
            <w:shd w:fill="E2F0D9"/>
            <w:vAlign w:val="center"/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000000"/>
                <w:sz w:val="19"/>
              </w:rPr>
              <w:t>End-of-Year Standard</w:t>
            </w:r>
          </w:p>
        </w:tc>
      </w:tr>
      <w:tr>
        <w:tc>
          <w:tcPr>
            <w:tcW w:type="dxa" w:w="10545"/>
            <w:tcBorders>
              <w:top w:val="single" w:sz="6" w:color="000000"/>
              <w:left w:val="single" w:sz="6" w:color="000000"/>
              <w:bottom w:val="single" w:sz="6" w:color="000000"/>
              <w:right w:val="single" w:sz="6" w:color="000000"/>
              <w:insideH w:val="single" w:sz="6" w:color="000000"/>
              <w:insideV w:val="single" w:sz="6" w:color="000000"/>
            </w:tcBorders>
            <w:tcMar>
              <w:top w:w="60" w:type="dxa"/>
              <w:start w:w="80" w:type="dxa"/>
              <w:bottom w:w="60" w:type="dxa"/>
              <w:end w:w="80" w:type="dxa"/>
            </w:tcMar>
            <w:vAlign w:val="center"/>
          </w:tcPr>
          <w:p>
            <w:pPr>
              <w:spacing w:before="0" w:after="0" w:line="240" w:lineRule="auto"/>
              <w:jc w:val="left"/>
            </w:pPr>
            <w:r/>
            <w:r>
              <w:rPr>
                <w:rFonts w:ascii="Arial" w:hAnsi="Arial"/>
                <w:b w:val="0"/>
                <w:color w:val="000000"/>
                <w:sz w:val="17"/>
              </w:rPr>
              <w:t>A pupil working at the expected standard applies these skills independently and consistently across a range of purposeful writing. Evidence should come from several pieces rather than a single outcome.</w:t>
            </w:r>
          </w:p>
        </w:tc>
      </w:tr>
    </w:tbl>
    <w:sectPr w:rsidR="00FC693F" w:rsidRPr="0006063C" w:rsidSect="00034616">
      <w:pgSz w:w="11906" w:h="16838"/>
      <w:pgMar w:top="652" w:right="652" w:bottom="595" w:left="652" w:header="227" w:footer="22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6" Type="http://schemas.openxmlformats.org/officeDocument/2006/relationships/webSettings" Target="webSettings.xml"/><Relationship Id="rId1" Type="http://schemas.openxmlformats.org/officeDocument/2006/relationships/customXml" Target="../customXml/item1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customXml" Target="../customXml/item3.xml"/><Relationship Id="rId4" Type="http://schemas.microsoft.com/office/2007/relationships/stylesWithEffects" Target="stylesWithEffect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C51B21F35E2B49AE208FF3A9CFEC9B" ma:contentTypeVersion="13" ma:contentTypeDescription="Create a new document." ma:contentTypeScope="" ma:versionID="1d35945e88421611170f2cb338e614bb">
  <xsd:schema xmlns:xsd="http://www.w3.org/2001/XMLSchema" xmlns:xs="http://www.w3.org/2001/XMLSchema" xmlns:p="http://schemas.microsoft.com/office/2006/metadata/properties" xmlns:ns2="cd7c7a3a-1c42-4cce-843c-58ea534ec0d7" xmlns:ns3="828614aa-35ad-43cd-b516-a29402b3ca61" targetNamespace="http://schemas.microsoft.com/office/2006/metadata/properties" ma:root="true" ma:fieldsID="a3ccd2bf280da612350347de8fcfe674" ns2:_="" ns3:_="">
    <xsd:import namespace="cd7c7a3a-1c42-4cce-843c-58ea534ec0d7"/>
    <xsd:import namespace="828614aa-35ad-43cd-b516-a29402b3ca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7c7a3a-1c42-4cce-843c-58ea534ec0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e6feb91-d9d8-4954-8ffa-71e97b18e1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614aa-35ad-43cd-b516-a29402b3ca6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280c316-a04b-410f-a341-51a06923b22b}" ma:internalName="TaxCatchAll" ma:showField="CatchAllData" ma:web="828614aa-35ad-43cd-b516-a29402b3ca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7c7a3a-1c42-4cce-843c-58ea534ec0d7">
      <Terms xmlns="http://schemas.microsoft.com/office/infopath/2007/PartnerControls"/>
    </lcf76f155ced4ddcb4097134ff3c332f>
    <TaxCatchAll xmlns="828614aa-35ad-43cd-b516-a29402b3ca61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14D5AB-F4D3-4169-B1FF-D9E79A14A648}"/>
</file>

<file path=customXml/itemProps3.xml><?xml version="1.0" encoding="utf-8"?>
<ds:datastoreItem xmlns:ds="http://schemas.openxmlformats.org/officeDocument/2006/customXml" ds:itemID="{268A35C8-B8B2-40FD-BE49-D3429E7680A4}"/>
</file>

<file path=customXml/itemProps4.xml><?xml version="1.0" encoding="utf-8"?>
<ds:datastoreItem xmlns:ds="http://schemas.openxmlformats.org/officeDocument/2006/customXml" ds:itemID="{753A4F41-FA97-41D6-AF61-03D75754267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0x0101002CC51B21F35E2B49AE208FF3A9CFEC9B</vt:lpwstr>
  </property>
</Properties>
</file>